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eastAsia="zh-CN"/>
        </w:rPr>
        <w:t>沧县恒跃镀锌有限公司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清洁生产审核信息公示</w:t>
      </w: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1 总则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为自觉履行保护环境的义务，主动接受社会监督，按照国家相关法律法规以及标准要求，结合我公司实际生产情况，制定环境信息公示内容。</w:t>
      </w: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 依据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《清洁生产审核办法》（国家发展和改革委员会、国家环境保护部令第38号）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《中华人民共和国清洁生产促进法》（2012年）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《关于开展2023年全省强制性清洁生产审核工作的通知》（冀环科宣函[2023]934号）；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（4）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《关于开展2023年沧州市清洁生产审核工作的通知》（沧环办函[2023]338号）；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《河北省强制性清洁生产审核事项告知书》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3 环境信息公开内容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3.1 基础信息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表3-1 企业基础信息表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039"/>
        <w:gridCol w:w="3201"/>
        <w:gridCol w:w="159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企业名称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沧县恒跃镀锌有限公司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所属行业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金属表面处理及热处理加工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企业类型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有限责任公司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法人代表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刘之祯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地址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河北省沧县姚官屯乡前李寨村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占地面积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5亩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电话及传真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电话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15903277739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联系人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刘之祯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班制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年生产3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0天，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八小时工作制，一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班制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邮编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061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主要产品为：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热浸镀锌件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设计生产能力：年产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500吨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热浸镀锌件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主要工艺流程简述：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金属件—酸洗—水洗—助镀—热浸镀锌—冷却—烘干—成品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关键设备设施：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  <w:t>酸洗池、水洗池、助镀池、锌锅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年末职工总数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技术人员总数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企业总投资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万元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环保投资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建厂日期</w:t>
            </w:r>
          </w:p>
        </w:tc>
        <w:tc>
          <w:tcPr>
            <w:tcW w:w="18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年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投产日期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年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3.2 清洁生产审核开展方式</w:t>
      </w:r>
    </w:p>
    <w:p>
      <w:pPr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表3-2 清洁生产审核开展方式表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20"/>
        <w:gridCol w:w="2070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开展审核方式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委托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 2" w:char="0052"/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咨询机构名称</w:t>
            </w:r>
          </w:p>
        </w:tc>
        <w:tc>
          <w:tcPr>
            <w:tcW w:w="32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河北振沧环保科技有限公司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自身□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3.3 主要原辅材料使用情况</w:t>
      </w: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表3-3 主要原辅材料一览表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3787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34" w:type="pct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使用部位</w:t>
            </w:r>
          </w:p>
        </w:tc>
        <w:tc>
          <w:tcPr>
            <w:tcW w:w="2222" w:type="pct"/>
            <w:vMerge w:val="restart"/>
            <w:tcBorders>
              <w:left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  <w:t>原料名称</w:t>
            </w:r>
          </w:p>
        </w:tc>
        <w:tc>
          <w:tcPr>
            <w:tcW w:w="1443" w:type="pc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年度总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  <w:t>用量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34" w:type="pct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2222" w:type="pct"/>
            <w:vMerge w:val="continue"/>
            <w:tcBorders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TW"/>
              </w:rPr>
            </w:pPr>
          </w:p>
        </w:tc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zh-TW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34" w:type="pct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酸洗池</w:t>
            </w:r>
          </w:p>
        </w:tc>
        <w:tc>
          <w:tcPr>
            <w:tcW w:w="22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金属件</w:t>
            </w:r>
          </w:p>
        </w:tc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447.2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34" w:type="pct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20%盐酸</w:t>
            </w:r>
          </w:p>
        </w:tc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4" w:type="pct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助镀槽</w:t>
            </w:r>
          </w:p>
        </w:tc>
        <w:tc>
          <w:tcPr>
            <w:tcW w:w="22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氯化铵</w:t>
            </w:r>
          </w:p>
        </w:tc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34" w:type="pct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氯化锌</w:t>
            </w:r>
          </w:p>
        </w:tc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34" w:type="pct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锌锅</w:t>
            </w:r>
          </w:p>
        </w:tc>
        <w:tc>
          <w:tcPr>
            <w:tcW w:w="22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锌锭</w:t>
            </w:r>
          </w:p>
        </w:tc>
        <w:tc>
          <w:tcPr>
            <w:tcW w:w="14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17.9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3.4 污染物排放情况</w:t>
      </w: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表3-4 污染物排放明细表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066"/>
        <w:gridCol w:w="224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污染物名称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排放标准浓度限值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日均值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污染物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允许排放量（t/a）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年度排放量（t）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9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颗粒物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m³</w:t>
            </w:r>
          </w:p>
        </w:tc>
        <w:tc>
          <w:tcPr>
            <w:tcW w:w="22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二氧化硫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m³</w:t>
            </w:r>
          </w:p>
        </w:tc>
        <w:tc>
          <w:tcPr>
            <w:tcW w:w="22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0.653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0.0030708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m³</w:t>
            </w:r>
          </w:p>
        </w:tc>
        <w:tc>
          <w:tcPr>
            <w:tcW w:w="22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0.653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0.1146432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氯化氢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m³</w:t>
            </w:r>
          </w:p>
        </w:tc>
        <w:tc>
          <w:tcPr>
            <w:tcW w:w="22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0.143563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氨（氨气）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4.9kg/h</w:t>
            </w:r>
          </w:p>
        </w:tc>
        <w:tc>
          <w:tcPr>
            <w:tcW w:w="22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0" w:after="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0.003359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3.5 企业危险废物产生及处置情况</w:t>
      </w: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表3-5 危险废物产生及处置情况明细表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31"/>
        <w:gridCol w:w="2319"/>
        <w:gridCol w:w="2127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危险废物类别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年产生量（t/a）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处置方式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废酸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HW34 900-300-34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17.1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收集后暂存危废间，交由有资质单位处理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污泥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HW17 336-051-17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0.175</w:t>
            </w:r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锌灰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HW23 336-103-23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0.0726</w:t>
            </w:r>
            <w:bookmarkStart w:id="2" w:name="_GoBack"/>
            <w:bookmarkEnd w:id="2"/>
          </w:p>
        </w:tc>
        <w:tc>
          <w:tcPr>
            <w:tcW w:w="1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after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3.6 企业环境风险防控措施情况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为贯彻落实《中华人民共和国环境保护法》、《中华人民共和国水污染防治法》、《中华人民共和国大气污染防治法》等法律、法规有关规定，建立健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全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沧县恒跃镀锌有限公司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环境安全应急体系，确保公司在发生突发环境事件时，各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项应急工作能够快速启动、高效有序，避免和最大限度地减轻突发环境事件对环境造成的损失和危害，我公司特制订了适合本公司实际的《</w:t>
      </w:r>
      <w:bookmarkStart w:id="0" w:name="_Toc225244035"/>
      <w:bookmarkStart w:id="1" w:name="_Toc224965852"/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突发环境事件应急预案》。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公司已于202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年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在沧州市生态环境局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沧县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分局备案，备案编号为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130921-2023-078-L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。</w:t>
      </w:r>
      <w:bookmarkEnd w:id="0"/>
      <w:bookmarkEnd w:id="1"/>
    </w:p>
    <w:p>
      <w:pPr>
        <w:pStyle w:val="7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我公司将在202</w:t>
      </w:r>
      <w:r>
        <w:rPr>
          <w:rFonts w:hint="default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年开展清洁生产工作，现按照法律法规规定向公众公示我公司企业基本信息、排放污染物名称、排放方式、排放浓度和总量、环境管理情况等情况。</w:t>
      </w:r>
    </w:p>
    <w:p>
      <w:pPr>
        <w:pStyle w:val="7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</w:rPr>
      </w:pPr>
    </w:p>
    <w:p>
      <w:pPr>
        <w:pStyle w:val="7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</w:rPr>
      </w:pPr>
    </w:p>
    <w:p>
      <w:pPr>
        <w:pStyle w:val="7"/>
        <w:snapToGrid w:val="0"/>
        <w:spacing w:line="360" w:lineRule="auto"/>
        <w:jc w:val="right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沧县恒跃镀锌有限公司</w:t>
      </w:r>
    </w:p>
    <w:p>
      <w:pPr>
        <w:pStyle w:val="7"/>
        <w:snapToGrid w:val="0"/>
        <w:spacing w:line="360" w:lineRule="auto"/>
        <w:ind w:firstLine="5280" w:firstLineChars="2200"/>
        <w:jc w:val="righ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202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</w:rPr>
        <w:t>年0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</w:rPr>
        <w:t>月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wOTlkODg3OTdmMDY4MzcxNDYwMzE2NTcyNThhMTUifQ=="/>
  </w:docVars>
  <w:rsids>
    <w:rsidRoot w:val="58CC1B7A"/>
    <w:rsid w:val="001001ED"/>
    <w:rsid w:val="00156CBB"/>
    <w:rsid w:val="001F1657"/>
    <w:rsid w:val="001F1E2C"/>
    <w:rsid w:val="00234CD8"/>
    <w:rsid w:val="002B7694"/>
    <w:rsid w:val="002F7E6D"/>
    <w:rsid w:val="00310DCD"/>
    <w:rsid w:val="00346508"/>
    <w:rsid w:val="0046543D"/>
    <w:rsid w:val="004C588E"/>
    <w:rsid w:val="006B18C0"/>
    <w:rsid w:val="006D5736"/>
    <w:rsid w:val="00717F49"/>
    <w:rsid w:val="00853DAD"/>
    <w:rsid w:val="0091133C"/>
    <w:rsid w:val="00B32169"/>
    <w:rsid w:val="00B5547F"/>
    <w:rsid w:val="00C21B7F"/>
    <w:rsid w:val="00C575C7"/>
    <w:rsid w:val="00C8686D"/>
    <w:rsid w:val="00E64F7C"/>
    <w:rsid w:val="00F66AAD"/>
    <w:rsid w:val="00F81BCE"/>
    <w:rsid w:val="00FE69E8"/>
    <w:rsid w:val="012811A8"/>
    <w:rsid w:val="03354079"/>
    <w:rsid w:val="049E158E"/>
    <w:rsid w:val="04F83540"/>
    <w:rsid w:val="080E7AB4"/>
    <w:rsid w:val="08EB04EB"/>
    <w:rsid w:val="0A2552B4"/>
    <w:rsid w:val="0DDA2FA0"/>
    <w:rsid w:val="111F4506"/>
    <w:rsid w:val="11657F33"/>
    <w:rsid w:val="11CB3D4A"/>
    <w:rsid w:val="127D62EC"/>
    <w:rsid w:val="13371448"/>
    <w:rsid w:val="144C0C67"/>
    <w:rsid w:val="17BB2B81"/>
    <w:rsid w:val="19304E94"/>
    <w:rsid w:val="19312344"/>
    <w:rsid w:val="1A751236"/>
    <w:rsid w:val="1BE60133"/>
    <w:rsid w:val="1CA07CA0"/>
    <w:rsid w:val="1EAF66C4"/>
    <w:rsid w:val="1F042FF2"/>
    <w:rsid w:val="251A6314"/>
    <w:rsid w:val="25292B82"/>
    <w:rsid w:val="2ABA5EBC"/>
    <w:rsid w:val="2CEB41E1"/>
    <w:rsid w:val="300352B9"/>
    <w:rsid w:val="30A2429C"/>
    <w:rsid w:val="31FD51B6"/>
    <w:rsid w:val="32602A81"/>
    <w:rsid w:val="326E6295"/>
    <w:rsid w:val="32BF4103"/>
    <w:rsid w:val="364D47D5"/>
    <w:rsid w:val="380702D5"/>
    <w:rsid w:val="38555E9B"/>
    <w:rsid w:val="3C752F9D"/>
    <w:rsid w:val="3FA748B5"/>
    <w:rsid w:val="40AB75B8"/>
    <w:rsid w:val="4928637F"/>
    <w:rsid w:val="4B5819AE"/>
    <w:rsid w:val="4D7504C7"/>
    <w:rsid w:val="4DB03006"/>
    <w:rsid w:val="4DEE188D"/>
    <w:rsid w:val="4E597BCE"/>
    <w:rsid w:val="4EEE3544"/>
    <w:rsid w:val="515956AA"/>
    <w:rsid w:val="52634283"/>
    <w:rsid w:val="528B2091"/>
    <w:rsid w:val="52946045"/>
    <w:rsid w:val="52F43A37"/>
    <w:rsid w:val="58CC1B7A"/>
    <w:rsid w:val="593816D0"/>
    <w:rsid w:val="5AA712EF"/>
    <w:rsid w:val="5D3B3E49"/>
    <w:rsid w:val="5E4461F9"/>
    <w:rsid w:val="5F8C411B"/>
    <w:rsid w:val="601C4734"/>
    <w:rsid w:val="61197002"/>
    <w:rsid w:val="64537E63"/>
    <w:rsid w:val="689B1051"/>
    <w:rsid w:val="6A9B703B"/>
    <w:rsid w:val="6D4F726A"/>
    <w:rsid w:val="71A5116A"/>
    <w:rsid w:val="75A232F1"/>
    <w:rsid w:val="799C6980"/>
    <w:rsid w:val="7A4633E7"/>
    <w:rsid w:val="7C854BCE"/>
    <w:rsid w:val="7CD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(小四)"/>
    <w:basedOn w:val="1"/>
    <w:autoRedefine/>
    <w:qFormat/>
    <w:uiPriority w:val="0"/>
    <w:pPr>
      <w:snapToGrid w:val="0"/>
      <w:spacing w:line="240" w:lineRule="auto"/>
    </w:pPr>
    <w:rPr>
      <w:spacing w:val="-20"/>
      <w:szCs w:val="20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  <w:spacing w:line="440" w:lineRule="exac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正文文本1"/>
    <w:basedOn w:val="1"/>
    <w:link w:val="10"/>
    <w:autoRedefine/>
    <w:qFormat/>
    <w:uiPriority w:val="0"/>
    <w:pPr>
      <w:shd w:val="clear" w:color="auto" w:fill="FFFFFF"/>
      <w:spacing w:line="479" w:lineRule="exact"/>
      <w:ind w:hanging="540"/>
      <w:jc w:val="right"/>
    </w:pPr>
    <w:rPr>
      <w:rFonts w:ascii="MingLiU" w:hAnsi="MingLiU" w:eastAsia="MingLiU"/>
      <w:spacing w:val="20"/>
    </w:rPr>
  </w:style>
  <w:style w:type="character" w:customStyle="1" w:styleId="9">
    <w:name w:val="正文文本 + 10 pt"/>
    <w:basedOn w:val="10"/>
    <w:autoRedefine/>
    <w:qFormat/>
    <w:uiPriority w:val="0"/>
    <w:rPr>
      <w:rFonts w:ascii="MingLiU" w:hAnsi="MingLiU" w:eastAsia="MingLiU"/>
      <w:spacing w:val="20"/>
      <w:sz w:val="20"/>
      <w:lang w:val="zh-CN" w:eastAsia="zh-CN"/>
    </w:rPr>
  </w:style>
  <w:style w:type="character" w:customStyle="1" w:styleId="10">
    <w:name w:val="正文文本_"/>
    <w:basedOn w:val="5"/>
    <w:link w:val="8"/>
    <w:autoRedefine/>
    <w:qFormat/>
    <w:locked/>
    <w:uiPriority w:val="0"/>
    <w:rPr>
      <w:rFonts w:ascii="MingLiU" w:hAnsi="MingLiU" w:eastAsia="MingLiU"/>
      <w:spacing w:val="20"/>
    </w:rPr>
  </w:style>
  <w:style w:type="character" w:customStyle="1" w:styleId="11">
    <w:name w:val="正文文本 + MS Mincho"/>
    <w:basedOn w:val="10"/>
    <w:autoRedefine/>
    <w:qFormat/>
    <w:uiPriority w:val="99"/>
    <w:rPr>
      <w:rFonts w:ascii="MS Mincho" w:hAnsi="MS Mincho" w:eastAsia="MS Mincho"/>
      <w:spacing w:val="0"/>
      <w:sz w:val="23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1134</Words>
  <Characters>1413</Characters>
  <Lines>14</Lines>
  <Paragraphs>4</Paragraphs>
  <TotalTime>15</TotalTime>
  <ScaleCrop>false</ScaleCrop>
  <LinksUpToDate>false</LinksUpToDate>
  <CharactersWithSpaces>1448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2022-01-21T10:14:00Z</dcterms:created>
  <dc:creator>徐永伟</dc:creator>
  <cp:lastModifiedBy>振沧环保赵帅</cp:lastModifiedBy>
  <dcterms:modified xsi:type="dcterms:W3CDTF">2024-08-26T06:23:37Z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3F83B2E977F141B2AB2F5F2421809FA1_13</vt:lpwstr>
  </property>
</Properties>
</file>